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DBBE9" w14:textId="77777777" w:rsidR="004530B7" w:rsidRPr="00515462" w:rsidRDefault="004530B7" w:rsidP="004530B7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Plantilla 1: Diagnóstico blockchain en la empresa (Evaluación integral del punto de partida tecnológico, estratégico y cultural)</w:t>
      </w:r>
    </w:p>
    <w:p w14:paraId="60DEA5C6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588A7C63" w14:textId="77777777" w:rsidR="004530B7" w:rsidRPr="000C4DA8" w:rsidRDefault="004530B7" w:rsidP="004530B7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53D2CB8A" w14:textId="77777777" w:rsidR="004530B7" w:rsidRPr="00515462" w:rsidRDefault="004530B7" w:rsidP="004530B7">
      <w:pPr>
        <w:jc w:val="both"/>
        <w:rPr>
          <w:rFonts w:eastAsiaTheme="minorEastAsia"/>
          <w:lang w:eastAsia="es-ES"/>
        </w:rPr>
      </w:pPr>
      <w:r w:rsidRPr="00515462">
        <w:rPr>
          <w:rFonts w:eastAsiaTheme="minorEastAsia"/>
          <w:lang w:eastAsia="es-ES"/>
        </w:rPr>
        <w:t xml:space="preserve">Antes de iniciar cualquier iniciativa basada en blockchain </w:t>
      </w:r>
      <w:r>
        <w:rPr>
          <w:rFonts w:eastAsiaTheme="minorEastAsia"/>
          <w:lang w:eastAsia="es-ES"/>
        </w:rPr>
        <w:t>-</w:t>
      </w:r>
      <w:r w:rsidRPr="00515462">
        <w:rPr>
          <w:rFonts w:eastAsiaTheme="minorEastAsia"/>
          <w:lang w:eastAsia="es-ES"/>
        </w:rPr>
        <w:t xml:space="preserve">ya sea la creación de una DAO, la implementación de </w:t>
      </w:r>
      <w:r>
        <w:rPr>
          <w:rFonts w:eastAsiaTheme="minorEastAsia"/>
          <w:lang w:eastAsia="es-ES"/>
        </w:rPr>
        <w:t>smart contracts</w:t>
      </w:r>
      <w:r w:rsidRPr="00515462">
        <w:rPr>
          <w:rFonts w:eastAsiaTheme="minorEastAsia"/>
          <w:lang w:eastAsia="es-ES"/>
        </w:rPr>
        <w:t xml:space="preserve"> o el despliegue de tokens</w:t>
      </w:r>
      <w:r>
        <w:rPr>
          <w:rFonts w:eastAsiaTheme="minorEastAsia"/>
          <w:lang w:eastAsia="es-ES"/>
        </w:rPr>
        <w:t>-</w:t>
      </w:r>
      <w:r w:rsidRPr="00515462">
        <w:rPr>
          <w:rFonts w:eastAsiaTheme="minorEastAsia"/>
          <w:lang w:eastAsia="es-ES"/>
        </w:rPr>
        <w:t xml:space="preserve"> es imprescindible conocer con precisión el estado actual de preparación y madurez de la empresa. Este diagnóstico no solo revela fortalezas y debilidades, sino que permite alinear las capacidades internas con las oportunidades que ofrece la tecnología, evitando inversiones prematuras o mal orientadas (</w:t>
      </w:r>
      <w:proofErr w:type="spellStart"/>
      <w:r w:rsidRPr="00515462">
        <w:rPr>
          <w:rFonts w:eastAsiaTheme="minorEastAsia"/>
          <w:lang w:eastAsia="es-ES"/>
        </w:rPr>
        <w:t>Mougayar</w:t>
      </w:r>
      <w:proofErr w:type="spellEnd"/>
      <w:r w:rsidRPr="00515462">
        <w:rPr>
          <w:rFonts w:eastAsiaTheme="minorEastAsia"/>
          <w:lang w:eastAsia="es-ES"/>
        </w:rPr>
        <w:t>, 2016).</w:t>
      </w:r>
    </w:p>
    <w:p w14:paraId="58D74459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515462">
        <w:rPr>
          <w:rFonts w:eastAsiaTheme="minorEastAsia"/>
          <w:lang w:eastAsia="es-ES"/>
        </w:rPr>
        <w:t>La presente plantilla ha sido diseñada como una herramienta de autoevaluación estructurada, pensada tanto para líderes empresariales como para equipos técnicos, y tiene como objetivo identificar brechas, capacidades, riesgos y puntos de apalancamiento en cinco dimensiones clave.</w:t>
      </w:r>
    </w:p>
    <w:p w14:paraId="5565F4A7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4367A134" w14:textId="77777777" w:rsidR="004530B7" w:rsidRPr="000C4DA8" w:rsidRDefault="004530B7" w:rsidP="004530B7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Estructura general de la plantilla</w:t>
      </w:r>
    </w:p>
    <w:p w14:paraId="79A02F5D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515462">
        <w:rPr>
          <w:rFonts w:eastAsiaTheme="minorEastAsia"/>
          <w:lang w:eastAsia="es-ES"/>
        </w:rPr>
        <w:t>La plantilla se organiza en cinco bloques fundamentales, cada uno con subcomponentes evaluables en escalas cualitativas y cuantitativas. Se recomienda aplicar esta plantilla en talleres participativos de 2 a 3 horas, con miembros de áreas como tecnología, estrategia, legal, finanzas y operaciones.</w:t>
      </w:r>
    </w:p>
    <w:p w14:paraId="1145FD12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450A5FCC" w14:textId="77777777" w:rsidR="004530B7" w:rsidRPr="005D73B2" w:rsidRDefault="004530B7" w:rsidP="004530B7">
      <w:pPr>
        <w:jc w:val="both"/>
        <w:rPr>
          <w:rFonts w:eastAsiaTheme="minorEastAsia"/>
          <w:i/>
          <w:iCs/>
          <w:lang w:eastAsia="es-ES"/>
        </w:rPr>
      </w:pPr>
      <w:r w:rsidRPr="005D73B2">
        <w:rPr>
          <w:rFonts w:eastAsiaTheme="minorEastAsia"/>
          <w:i/>
          <w:iCs/>
          <w:lang w:eastAsia="es-ES"/>
        </w:rPr>
        <w:t>BLOQUE A: Nivel de madurez digital de la empresa</w:t>
      </w:r>
    </w:p>
    <w:p w14:paraId="3A0A0128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5D73B2">
        <w:rPr>
          <w:rFonts w:eastAsiaTheme="minorEastAsia"/>
          <w:lang w:eastAsia="es-ES"/>
        </w:rPr>
        <w:t>Este bloque evalúa si la organización cuenta con las bases digitales fundamentales para iniciar un proceso de transformación blockchain.</w:t>
      </w:r>
    </w:p>
    <w:p w14:paraId="2CDB3286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112"/>
      </w:tblGrid>
      <w:tr w:rsidR="004530B7" w:rsidRPr="005D73B2" w14:paraId="3947021B" w14:textId="77777777" w:rsidTr="00DC0209">
        <w:tc>
          <w:tcPr>
            <w:tcW w:w="2122" w:type="dxa"/>
            <w:vAlign w:val="center"/>
          </w:tcPr>
          <w:p w14:paraId="702E1418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Indicador</w:t>
            </w:r>
          </w:p>
        </w:tc>
        <w:tc>
          <w:tcPr>
            <w:tcW w:w="3260" w:type="dxa"/>
            <w:vAlign w:val="center"/>
          </w:tcPr>
          <w:p w14:paraId="32C5DF9F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  <w:tc>
          <w:tcPr>
            <w:tcW w:w="3112" w:type="dxa"/>
            <w:vAlign w:val="center"/>
          </w:tcPr>
          <w:p w14:paraId="6C2096D3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Escala (1 – 5)</w:t>
            </w:r>
          </w:p>
        </w:tc>
      </w:tr>
      <w:tr w:rsidR="004530B7" w:rsidRPr="005D73B2" w14:paraId="5292A3C2" w14:textId="77777777" w:rsidTr="00DC0209">
        <w:tc>
          <w:tcPr>
            <w:tcW w:w="2122" w:type="dxa"/>
            <w:vAlign w:val="center"/>
          </w:tcPr>
          <w:p w14:paraId="74289D66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Infraestructura digital</w:t>
            </w:r>
          </w:p>
        </w:tc>
        <w:tc>
          <w:tcPr>
            <w:tcW w:w="3260" w:type="dxa"/>
            <w:vAlign w:val="center"/>
          </w:tcPr>
          <w:p w14:paraId="552B38DB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Presencia de ERP, CRM, servicios de cloud computing, APIs y conectividad avanzada</w:t>
            </w:r>
          </w:p>
        </w:tc>
        <w:tc>
          <w:tcPr>
            <w:tcW w:w="3112" w:type="dxa"/>
            <w:vAlign w:val="center"/>
          </w:tcPr>
          <w:p w14:paraId="76310B7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07B33C55" w14:textId="77777777" w:rsidTr="00DC0209">
        <w:tc>
          <w:tcPr>
            <w:tcW w:w="2122" w:type="dxa"/>
            <w:vAlign w:val="center"/>
          </w:tcPr>
          <w:p w14:paraId="5EA13226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automatización de procesos</w:t>
            </w:r>
          </w:p>
        </w:tc>
        <w:tc>
          <w:tcPr>
            <w:tcW w:w="3260" w:type="dxa"/>
            <w:vAlign w:val="center"/>
          </w:tcPr>
          <w:p w14:paraId="690DD27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Grada de digitalización de operaciones repetitivas y back-office</w:t>
            </w:r>
          </w:p>
        </w:tc>
        <w:tc>
          <w:tcPr>
            <w:tcW w:w="3112" w:type="dxa"/>
            <w:vAlign w:val="center"/>
          </w:tcPr>
          <w:p w14:paraId="5250FAD2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06ADE7D5" w14:textId="77777777" w:rsidTr="00DC0209">
        <w:tc>
          <w:tcPr>
            <w:tcW w:w="2122" w:type="dxa"/>
            <w:vAlign w:val="center"/>
          </w:tcPr>
          <w:p w14:paraId="021E4DE4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Cultura de innovación</w:t>
            </w:r>
          </w:p>
        </w:tc>
        <w:tc>
          <w:tcPr>
            <w:tcW w:w="3260" w:type="dxa"/>
            <w:vAlign w:val="center"/>
          </w:tcPr>
          <w:p w14:paraId="5F9EE277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organizativa de experimentar con tecnologías emergentes</w:t>
            </w:r>
          </w:p>
        </w:tc>
        <w:tc>
          <w:tcPr>
            <w:tcW w:w="3112" w:type="dxa"/>
            <w:vAlign w:val="center"/>
          </w:tcPr>
          <w:p w14:paraId="6D62E9B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2E0DDC5D" w14:textId="77777777" w:rsidTr="00DC0209">
        <w:tc>
          <w:tcPr>
            <w:tcW w:w="2122" w:type="dxa"/>
            <w:vAlign w:val="center"/>
          </w:tcPr>
          <w:p w14:paraId="58A386B5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analítica de datos</w:t>
            </w:r>
          </w:p>
        </w:tc>
        <w:tc>
          <w:tcPr>
            <w:tcW w:w="3260" w:type="dxa"/>
            <w:vAlign w:val="center"/>
          </w:tcPr>
          <w:p w14:paraId="1473ADAA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Herramientas para recopilar, procesar y usar datos en tiempo real</w:t>
            </w:r>
          </w:p>
        </w:tc>
        <w:tc>
          <w:tcPr>
            <w:tcW w:w="3112" w:type="dxa"/>
            <w:vAlign w:val="center"/>
          </w:tcPr>
          <w:p w14:paraId="34DA196B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</w:tbl>
    <w:p w14:paraId="64CBA1FE" w14:textId="77777777" w:rsidR="004530B7" w:rsidRDefault="004530B7" w:rsidP="004530B7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12: Nivel de madurez digital de la empresa. </w:t>
      </w:r>
      <w:proofErr w:type="spellStart"/>
      <w:r w:rsidRPr="00147D65">
        <w:rPr>
          <w:rFonts w:eastAsiaTheme="minorEastAsia"/>
          <w:sz w:val="20"/>
          <w:szCs w:val="20"/>
          <w:lang w:eastAsia="es-ES"/>
        </w:rPr>
        <w:t>Westerman</w:t>
      </w:r>
      <w:proofErr w:type="spellEnd"/>
      <w:r w:rsidRPr="00147D65">
        <w:rPr>
          <w:rFonts w:eastAsiaTheme="minorEastAsia"/>
          <w:sz w:val="20"/>
          <w:szCs w:val="20"/>
          <w:lang w:eastAsia="es-ES"/>
        </w:rPr>
        <w:t xml:space="preserve">, G., Bonnet, D., &amp; McAfee, A. (2014). </w:t>
      </w:r>
      <w:proofErr w:type="spellStart"/>
      <w:r w:rsidRPr="00147D65">
        <w:rPr>
          <w:rFonts w:eastAsiaTheme="minorEastAsia"/>
          <w:sz w:val="20"/>
          <w:szCs w:val="20"/>
          <w:lang w:eastAsia="es-ES"/>
        </w:rPr>
        <w:t>Leading</w:t>
      </w:r>
      <w:proofErr w:type="spellEnd"/>
      <w:r w:rsidRPr="00147D65">
        <w:rPr>
          <w:rFonts w:eastAsiaTheme="minorEastAsia"/>
          <w:sz w:val="20"/>
          <w:szCs w:val="20"/>
          <w:lang w:eastAsia="es-ES"/>
        </w:rPr>
        <w:t xml:space="preserve"> Digital. Harvard Business </w:t>
      </w:r>
      <w:proofErr w:type="spellStart"/>
      <w:r w:rsidRPr="00147D65">
        <w:rPr>
          <w:rFonts w:eastAsiaTheme="minorEastAsia"/>
          <w:sz w:val="20"/>
          <w:szCs w:val="20"/>
          <w:lang w:eastAsia="es-ES"/>
        </w:rPr>
        <w:t>Review</w:t>
      </w:r>
      <w:proofErr w:type="spellEnd"/>
      <w:r w:rsidRPr="00147D65">
        <w:rPr>
          <w:rFonts w:eastAsiaTheme="minorEastAsia"/>
          <w:sz w:val="20"/>
          <w:szCs w:val="20"/>
          <w:lang w:eastAsia="es-ES"/>
        </w:rPr>
        <w:t xml:space="preserve"> </w:t>
      </w:r>
      <w:proofErr w:type="spellStart"/>
      <w:r w:rsidRPr="00147D65">
        <w:rPr>
          <w:rFonts w:eastAsiaTheme="minorEastAsia"/>
          <w:sz w:val="20"/>
          <w:szCs w:val="20"/>
          <w:lang w:eastAsia="es-ES"/>
        </w:rPr>
        <w:t>Press</w:t>
      </w:r>
      <w:proofErr w:type="spellEnd"/>
      <w:r w:rsidRPr="00147D65">
        <w:rPr>
          <w:rFonts w:eastAsiaTheme="minorEastAsia"/>
          <w:sz w:val="20"/>
          <w:szCs w:val="20"/>
          <w:lang w:eastAsia="es-ES"/>
        </w:rPr>
        <w:t>.</w:t>
      </w:r>
    </w:p>
    <w:p w14:paraId="73126EAD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252CE826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46D2B2AD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1C1D6B85" w14:textId="77777777" w:rsidR="004530B7" w:rsidRPr="005D73B2" w:rsidRDefault="004530B7" w:rsidP="004530B7">
      <w:pPr>
        <w:jc w:val="both"/>
        <w:rPr>
          <w:rFonts w:eastAsiaTheme="minorEastAsia"/>
          <w:i/>
          <w:iCs/>
          <w:lang w:eastAsia="es-ES"/>
        </w:rPr>
      </w:pPr>
      <w:r w:rsidRPr="005D73B2">
        <w:rPr>
          <w:rFonts w:eastAsiaTheme="minorEastAsia"/>
          <w:i/>
          <w:iCs/>
          <w:lang w:eastAsia="es-ES"/>
        </w:rPr>
        <w:t xml:space="preserve">BLOQUE </w:t>
      </w:r>
      <w:r>
        <w:rPr>
          <w:rFonts w:eastAsiaTheme="minorEastAsia"/>
          <w:i/>
          <w:iCs/>
          <w:lang w:eastAsia="es-ES"/>
        </w:rPr>
        <w:t>B</w:t>
      </w:r>
      <w:r w:rsidRPr="005D73B2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Conocimiento interno sobre blockchain</w:t>
      </w:r>
    </w:p>
    <w:p w14:paraId="2FB28A89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9D01C8">
        <w:rPr>
          <w:rFonts w:eastAsiaTheme="minorEastAsia"/>
          <w:lang w:eastAsia="es-ES"/>
        </w:rPr>
        <w:t>Este bloque mide el grado de alfabetización técnica y estratégica sobre blockchain entre los equipos clave.</w:t>
      </w:r>
    </w:p>
    <w:p w14:paraId="6F796C9A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2048510D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115A1201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112"/>
      </w:tblGrid>
      <w:tr w:rsidR="004530B7" w:rsidRPr="005D73B2" w14:paraId="666A0A6E" w14:textId="77777777" w:rsidTr="00DC0209">
        <w:tc>
          <w:tcPr>
            <w:tcW w:w="2122" w:type="dxa"/>
            <w:vAlign w:val="center"/>
          </w:tcPr>
          <w:p w14:paraId="47715F45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Indicador</w:t>
            </w:r>
          </w:p>
        </w:tc>
        <w:tc>
          <w:tcPr>
            <w:tcW w:w="3260" w:type="dxa"/>
            <w:vAlign w:val="center"/>
          </w:tcPr>
          <w:p w14:paraId="6360A8AA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  <w:tc>
          <w:tcPr>
            <w:tcW w:w="3112" w:type="dxa"/>
            <w:vAlign w:val="center"/>
          </w:tcPr>
          <w:p w14:paraId="0E33705B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Escala (1 – 5)</w:t>
            </w:r>
          </w:p>
        </w:tc>
      </w:tr>
      <w:tr w:rsidR="004530B7" w:rsidRPr="005D73B2" w14:paraId="2BD082BC" w14:textId="77777777" w:rsidTr="00DC0209">
        <w:tc>
          <w:tcPr>
            <w:tcW w:w="2122" w:type="dxa"/>
            <w:vAlign w:val="center"/>
          </w:tcPr>
          <w:p w14:paraId="0D1F00B8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Conocimiento del equipo directivo</w:t>
            </w:r>
          </w:p>
        </w:tc>
        <w:tc>
          <w:tcPr>
            <w:tcW w:w="3260" w:type="dxa"/>
            <w:vAlign w:val="center"/>
          </w:tcPr>
          <w:p w14:paraId="796B55C0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Comprensión de conceptos como smart contracts, tokens o DAOs</w:t>
            </w:r>
          </w:p>
        </w:tc>
        <w:tc>
          <w:tcPr>
            <w:tcW w:w="3112" w:type="dxa"/>
            <w:vAlign w:val="center"/>
          </w:tcPr>
          <w:p w14:paraId="25C5AED2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1BBF05F2" w14:textId="77777777" w:rsidTr="00DC0209">
        <w:tc>
          <w:tcPr>
            <w:tcW w:w="2122" w:type="dxa"/>
            <w:vAlign w:val="center"/>
          </w:tcPr>
          <w:p w14:paraId="793434F8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Formación técnica en el equipo IT</w:t>
            </w:r>
          </w:p>
        </w:tc>
        <w:tc>
          <w:tcPr>
            <w:tcW w:w="3260" w:type="dxa"/>
            <w:vAlign w:val="center"/>
          </w:tcPr>
          <w:p w14:paraId="62E103A8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del equipo para desarrollar sobre Ethereum, Hyperledger u otras redes</w:t>
            </w:r>
          </w:p>
        </w:tc>
        <w:tc>
          <w:tcPr>
            <w:tcW w:w="3112" w:type="dxa"/>
            <w:vAlign w:val="center"/>
          </w:tcPr>
          <w:p w14:paraId="6D561DB8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2FCADAA4" w14:textId="77777777" w:rsidTr="00DC0209">
        <w:tc>
          <w:tcPr>
            <w:tcW w:w="2122" w:type="dxa"/>
            <w:vAlign w:val="center"/>
          </w:tcPr>
          <w:p w14:paraId="0A53D030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Conciencia de modelos de negocio Web3</w:t>
            </w:r>
          </w:p>
        </w:tc>
        <w:tc>
          <w:tcPr>
            <w:tcW w:w="3260" w:type="dxa"/>
            <w:vAlign w:val="center"/>
          </w:tcPr>
          <w:p w14:paraId="4C66688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Familiaridad con conceptos como tokenización, gobernabilidad descentralizada, etc.</w:t>
            </w:r>
          </w:p>
        </w:tc>
        <w:tc>
          <w:tcPr>
            <w:tcW w:w="3112" w:type="dxa"/>
            <w:vAlign w:val="center"/>
          </w:tcPr>
          <w:p w14:paraId="0FC5BC06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baja / 5 = muy alta</w:t>
            </w:r>
          </w:p>
        </w:tc>
      </w:tr>
      <w:tr w:rsidR="004530B7" w:rsidRPr="005D73B2" w14:paraId="4204B9B0" w14:textId="77777777" w:rsidTr="00DC0209">
        <w:trPr>
          <w:trHeight w:val="390"/>
        </w:trPr>
        <w:tc>
          <w:tcPr>
            <w:tcW w:w="2122" w:type="dxa"/>
            <w:vAlign w:val="center"/>
          </w:tcPr>
          <w:p w14:paraId="1432A2B8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Iniciativas anteriores con blockchain</w:t>
            </w:r>
          </w:p>
        </w:tc>
        <w:tc>
          <w:tcPr>
            <w:tcW w:w="3260" w:type="dxa"/>
            <w:vAlign w:val="center"/>
          </w:tcPr>
          <w:p w14:paraId="759917DA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Existencia de pruebas piloto, PoC o proyectos previos</w:t>
            </w:r>
          </w:p>
        </w:tc>
        <w:tc>
          <w:tcPr>
            <w:tcW w:w="3112" w:type="dxa"/>
            <w:vAlign w:val="center"/>
          </w:tcPr>
          <w:p w14:paraId="0D34EA14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/ No / En proceso</w:t>
            </w:r>
          </w:p>
        </w:tc>
      </w:tr>
    </w:tbl>
    <w:p w14:paraId="4A546629" w14:textId="77777777" w:rsidR="004530B7" w:rsidRDefault="004530B7" w:rsidP="004530B7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13: Conocimiento interno sobre blockchain. </w:t>
      </w:r>
      <w:r w:rsidRPr="009D01C8">
        <w:rPr>
          <w:rFonts w:eastAsiaTheme="minorEastAsia"/>
          <w:sz w:val="20"/>
          <w:szCs w:val="20"/>
          <w:lang w:eastAsia="es-ES"/>
        </w:rPr>
        <w:t>Drescher, D. (2017).</w:t>
      </w:r>
    </w:p>
    <w:p w14:paraId="22E008D7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07BFE0B3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671BD62B" w14:textId="77777777" w:rsidR="004530B7" w:rsidRPr="005D73B2" w:rsidRDefault="004530B7" w:rsidP="004530B7">
      <w:pPr>
        <w:jc w:val="both"/>
        <w:rPr>
          <w:rFonts w:eastAsiaTheme="minorEastAsia"/>
          <w:i/>
          <w:iCs/>
          <w:lang w:eastAsia="es-ES"/>
        </w:rPr>
      </w:pPr>
      <w:r w:rsidRPr="005D73B2">
        <w:rPr>
          <w:rFonts w:eastAsiaTheme="minorEastAsia"/>
          <w:i/>
          <w:iCs/>
          <w:lang w:eastAsia="es-ES"/>
        </w:rPr>
        <w:t xml:space="preserve">BLOQUE </w:t>
      </w:r>
      <w:r>
        <w:rPr>
          <w:rFonts w:eastAsiaTheme="minorEastAsia"/>
          <w:i/>
          <w:iCs/>
          <w:lang w:eastAsia="es-ES"/>
        </w:rPr>
        <w:t>C</w:t>
      </w:r>
      <w:r w:rsidRPr="005D73B2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Identificación de procesos con potencial de transformación</w:t>
      </w:r>
    </w:p>
    <w:p w14:paraId="31F410BB" w14:textId="77777777" w:rsidR="004530B7" w:rsidRDefault="004530B7" w:rsidP="004530B7">
      <w:pPr>
        <w:jc w:val="both"/>
      </w:pPr>
      <w:r>
        <w:t>Busca detectar qué áreas de negocio podrían beneficiarse más de una solución descentralizada.</w:t>
      </w:r>
    </w:p>
    <w:p w14:paraId="7B3298FE" w14:textId="77777777" w:rsidR="004530B7" w:rsidRDefault="004530B7" w:rsidP="004530B7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530B7" w:rsidRPr="0084392A" w14:paraId="6982A3C0" w14:textId="77777777" w:rsidTr="00DC0209">
        <w:tc>
          <w:tcPr>
            <w:tcW w:w="2123" w:type="dxa"/>
            <w:vAlign w:val="center"/>
          </w:tcPr>
          <w:p w14:paraId="5F2437EA" w14:textId="77777777" w:rsidR="004530B7" w:rsidRPr="0084392A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Área</w:t>
            </w:r>
          </w:p>
        </w:tc>
        <w:tc>
          <w:tcPr>
            <w:tcW w:w="2123" w:type="dxa"/>
            <w:vAlign w:val="center"/>
          </w:tcPr>
          <w:p w14:paraId="0B81FE94" w14:textId="77777777" w:rsidR="004530B7" w:rsidRPr="0084392A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Potencial de mejora con blockchain</w:t>
            </w:r>
          </w:p>
        </w:tc>
        <w:tc>
          <w:tcPr>
            <w:tcW w:w="2124" w:type="dxa"/>
            <w:vAlign w:val="center"/>
          </w:tcPr>
          <w:p w14:paraId="15101CD4" w14:textId="77777777" w:rsidR="004530B7" w:rsidRPr="0084392A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Tipo de beneficio esperado</w:t>
            </w:r>
          </w:p>
        </w:tc>
        <w:tc>
          <w:tcPr>
            <w:tcW w:w="2124" w:type="dxa"/>
            <w:vAlign w:val="center"/>
          </w:tcPr>
          <w:p w14:paraId="262EB92C" w14:textId="77777777" w:rsidR="004530B7" w:rsidRPr="0084392A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Notas</w:t>
            </w:r>
          </w:p>
        </w:tc>
      </w:tr>
      <w:tr w:rsidR="004530B7" w:rsidRPr="0084392A" w14:paraId="5BDCA32E" w14:textId="77777777" w:rsidTr="00DC0209">
        <w:tc>
          <w:tcPr>
            <w:tcW w:w="2123" w:type="dxa"/>
            <w:vAlign w:val="center"/>
          </w:tcPr>
          <w:p w14:paraId="53D0E3A0" w14:textId="77777777" w:rsidR="004530B7" w:rsidRPr="0084392A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Finanzas / Contabilidad</w:t>
            </w:r>
          </w:p>
        </w:tc>
        <w:tc>
          <w:tcPr>
            <w:tcW w:w="2123" w:type="dxa"/>
            <w:vAlign w:val="center"/>
          </w:tcPr>
          <w:p w14:paraId="0FB95A07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/ Medio / Bajo</w:t>
            </w:r>
          </w:p>
        </w:tc>
        <w:tc>
          <w:tcPr>
            <w:tcW w:w="2124" w:type="dxa"/>
            <w:vAlign w:val="center"/>
          </w:tcPr>
          <w:p w14:paraId="54BF7D68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Transparencia y reducción de costes</w:t>
            </w:r>
          </w:p>
        </w:tc>
        <w:tc>
          <w:tcPr>
            <w:tcW w:w="2124" w:type="dxa"/>
            <w:vAlign w:val="center"/>
          </w:tcPr>
          <w:p w14:paraId="513AE7D4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84392A" w14:paraId="42A2D621" w14:textId="77777777" w:rsidTr="00DC0209">
        <w:tc>
          <w:tcPr>
            <w:tcW w:w="2123" w:type="dxa"/>
            <w:vAlign w:val="center"/>
          </w:tcPr>
          <w:p w14:paraId="3A6CFC85" w14:textId="77777777" w:rsidR="004530B7" w:rsidRPr="0084392A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Logística / Supply Chain</w:t>
            </w:r>
          </w:p>
        </w:tc>
        <w:tc>
          <w:tcPr>
            <w:tcW w:w="2123" w:type="dxa"/>
            <w:vAlign w:val="center"/>
          </w:tcPr>
          <w:p w14:paraId="022047DF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/ Medio / Bajo</w:t>
            </w:r>
          </w:p>
        </w:tc>
        <w:tc>
          <w:tcPr>
            <w:tcW w:w="2124" w:type="dxa"/>
            <w:vAlign w:val="center"/>
          </w:tcPr>
          <w:p w14:paraId="2B71E96A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Trazabilidad e interoperabilidad</w:t>
            </w:r>
          </w:p>
        </w:tc>
        <w:tc>
          <w:tcPr>
            <w:tcW w:w="2124" w:type="dxa"/>
            <w:vAlign w:val="center"/>
          </w:tcPr>
          <w:p w14:paraId="4C145237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84392A" w14:paraId="4AAEE0E7" w14:textId="77777777" w:rsidTr="00DC0209">
        <w:tc>
          <w:tcPr>
            <w:tcW w:w="2123" w:type="dxa"/>
            <w:vAlign w:val="center"/>
          </w:tcPr>
          <w:p w14:paraId="7BFD9B22" w14:textId="77777777" w:rsidR="004530B7" w:rsidRPr="0084392A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Recursos humanos</w:t>
            </w:r>
          </w:p>
        </w:tc>
        <w:tc>
          <w:tcPr>
            <w:tcW w:w="2123" w:type="dxa"/>
            <w:vAlign w:val="center"/>
          </w:tcPr>
          <w:p w14:paraId="4B355DD0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/ Medio / Bajo</w:t>
            </w:r>
          </w:p>
        </w:tc>
        <w:tc>
          <w:tcPr>
            <w:tcW w:w="2124" w:type="dxa"/>
            <w:vAlign w:val="center"/>
          </w:tcPr>
          <w:p w14:paraId="595CD525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Gestión de identidad y automatización</w:t>
            </w:r>
          </w:p>
        </w:tc>
        <w:tc>
          <w:tcPr>
            <w:tcW w:w="2124" w:type="dxa"/>
            <w:vAlign w:val="center"/>
          </w:tcPr>
          <w:p w14:paraId="5969CB73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84392A" w14:paraId="6841AFEF" w14:textId="77777777" w:rsidTr="00DC0209">
        <w:tc>
          <w:tcPr>
            <w:tcW w:w="2123" w:type="dxa"/>
            <w:vAlign w:val="center"/>
          </w:tcPr>
          <w:p w14:paraId="31F6EDDD" w14:textId="77777777" w:rsidR="004530B7" w:rsidRPr="0084392A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Legal / Compliance</w:t>
            </w:r>
          </w:p>
        </w:tc>
        <w:tc>
          <w:tcPr>
            <w:tcW w:w="2123" w:type="dxa"/>
            <w:vAlign w:val="center"/>
          </w:tcPr>
          <w:p w14:paraId="690FF8FF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 / Medio / Bajo</w:t>
            </w:r>
          </w:p>
        </w:tc>
        <w:tc>
          <w:tcPr>
            <w:tcW w:w="2124" w:type="dxa"/>
            <w:vAlign w:val="center"/>
          </w:tcPr>
          <w:p w14:paraId="24D033F1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Auditoría automática y smart contracts</w:t>
            </w:r>
          </w:p>
        </w:tc>
        <w:tc>
          <w:tcPr>
            <w:tcW w:w="2124" w:type="dxa"/>
            <w:vAlign w:val="center"/>
          </w:tcPr>
          <w:p w14:paraId="62656E34" w14:textId="77777777" w:rsidR="004530B7" w:rsidRPr="0084392A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3B074502" w14:textId="77777777" w:rsidR="004530B7" w:rsidRDefault="004530B7" w:rsidP="004530B7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14: Identificación de procesos con potencial de transformación. </w:t>
      </w:r>
      <w:r w:rsidRPr="0084392A">
        <w:rPr>
          <w:rFonts w:eastAsiaTheme="minorEastAsia"/>
          <w:sz w:val="20"/>
          <w:szCs w:val="20"/>
          <w:lang w:eastAsia="es-ES"/>
        </w:rPr>
        <w:t>Tapscott, D., &amp; Tapscott, A. (2016).</w:t>
      </w:r>
    </w:p>
    <w:p w14:paraId="20EF27C2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11D502A3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33D2F3CB" w14:textId="77777777" w:rsidR="004530B7" w:rsidRPr="005D73B2" w:rsidRDefault="004530B7" w:rsidP="004530B7">
      <w:pPr>
        <w:jc w:val="both"/>
        <w:rPr>
          <w:rFonts w:eastAsiaTheme="minorEastAsia"/>
          <w:i/>
          <w:iCs/>
          <w:lang w:eastAsia="es-ES"/>
        </w:rPr>
      </w:pPr>
      <w:r w:rsidRPr="005D73B2">
        <w:rPr>
          <w:rFonts w:eastAsiaTheme="minorEastAsia"/>
          <w:i/>
          <w:iCs/>
          <w:lang w:eastAsia="es-ES"/>
        </w:rPr>
        <w:t xml:space="preserve">BLOQUE </w:t>
      </w:r>
      <w:r>
        <w:rPr>
          <w:rFonts w:eastAsiaTheme="minorEastAsia"/>
          <w:i/>
          <w:iCs/>
          <w:lang w:eastAsia="es-ES"/>
        </w:rPr>
        <w:t>D</w:t>
      </w:r>
      <w:r w:rsidRPr="005D73B2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de riesgos y oportunidades</w:t>
      </w:r>
    </w:p>
    <w:p w14:paraId="3EDF7EA6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893506">
        <w:t>Aquí se examina la disposición institucional para gestionar riesgos e incertidumbres, así como para capturar valor.</w:t>
      </w:r>
    </w:p>
    <w:p w14:paraId="1F0A8039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112"/>
      </w:tblGrid>
      <w:tr w:rsidR="004530B7" w:rsidRPr="005D73B2" w14:paraId="4736A746" w14:textId="77777777" w:rsidTr="00DC0209">
        <w:tc>
          <w:tcPr>
            <w:tcW w:w="2122" w:type="dxa"/>
            <w:vAlign w:val="center"/>
          </w:tcPr>
          <w:p w14:paraId="70E5BCFB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Indicador</w:t>
            </w:r>
          </w:p>
        </w:tc>
        <w:tc>
          <w:tcPr>
            <w:tcW w:w="3260" w:type="dxa"/>
            <w:vAlign w:val="center"/>
          </w:tcPr>
          <w:p w14:paraId="388FE4D1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  <w:tc>
          <w:tcPr>
            <w:tcW w:w="3112" w:type="dxa"/>
            <w:vAlign w:val="center"/>
          </w:tcPr>
          <w:p w14:paraId="0349F488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Nivel de preparación (1 – 5)</w:t>
            </w:r>
          </w:p>
        </w:tc>
      </w:tr>
      <w:tr w:rsidR="004530B7" w:rsidRPr="005D73B2" w14:paraId="2E6F75ED" w14:textId="77777777" w:rsidTr="00DC0209">
        <w:tc>
          <w:tcPr>
            <w:tcW w:w="2122" w:type="dxa"/>
            <w:vAlign w:val="center"/>
          </w:tcPr>
          <w:p w14:paraId="16BC062C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Tolerancia al riesgo tecnológico</w:t>
            </w:r>
          </w:p>
        </w:tc>
        <w:tc>
          <w:tcPr>
            <w:tcW w:w="3260" w:type="dxa"/>
            <w:vAlign w:val="center"/>
          </w:tcPr>
          <w:p w14:paraId="46457304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de asumir errores y aprendizaje en tecnologías emergentes</w:t>
            </w:r>
          </w:p>
        </w:tc>
        <w:tc>
          <w:tcPr>
            <w:tcW w:w="3112" w:type="dxa"/>
            <w:vAlign w:val="center"/>
          </w:tcPr>
          <w:p w14:paraId="715A40A9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</w:tr>
      <w:tr w:rsidR="004530B7" w:rsidRPr="005D73B2" w14:paraId="47ED87B0" w14:textId="77777777" w:rsidTr="00DC0209">
        <w:tc>
          <w:tcPr>
            <w:tcW w:w="2122" w:type="dxa"/>
            <w:vAlign w:val="center"/>
          </w:tcPr>
          <w:p w14:paraId="050BD98C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Gestión de incertidumbre regulatorio</w:t>
            </w:r>
          </w:p>
        </w:tc>
        <w:tc>
          <w:tcPr>
            <w:tcW w:w="3260" w:type="dxa"/>
            <w:vAlign w:val="center"/>
          </w:tcPr>
          <w:p w14:paraId="32A5782C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Conocimiento y preparación ante vacíos legales o fiscales</w:t>
            </w:r>
          </w:p>
        </w:tc>
        <w:tc>
          <w:tcPr>
            <w:tcW w:w="3112" w:type="dxa"/>
            <w:vAlign w:val="center"/>
          </w:tcPr>
          <w:p w14:paraId="10FFFF30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</w:tr>
      <w:tr w:rsidR="004530B7" w:rsidRPr="005D73B2" w14:paraId="394CE4A1" w14:textId="77777777" w:rsidTr="00DC0209">
        <w:tc>
          <w:tcPr>
            <w:tcW w:w="2122" w:type="dxa"/>
            <w:vAlign w:val="center"/>
          </w:tcPr>
          <w:p w14:paraId="7E7B4E10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Disposición a modificar modelos operativos</w:t>
            </w:r>
          </w:p>
        </w:tc>
        <w:tc>
          <w:tcPr>
            <w:tcW w:w="3260" w:type="dxa"/>
            <w:vAlign w:val="center"/>
          </w:tcPr>
          <w:p w14:paraId="5B6EC7E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Flexibilidad en roles, gobernabilidad o flujos internos</w:t>
            </w:r>
          </w:p>
        </w:tc>
        <w:tc>
          <w:tcPr>
            <w:tcW w:w="3112" w:type="dxa"/>
            <w:vAlign w:val="center"/>
          </w:tcPr>
          <w:p w14:paraId="43F8C290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</w:tr>
      <w:tr w:rsidR="004530B7" w:rsidRPr="005D73B2" w14:paraId="625DFD31" w14:textId="77777777" w:rsidTr="00DC0209">
        <w:trPr>
          <w:trHeight w:val="390"/>
        </w:trPr>
        <w:tc>
          <w:tcPr>
            <w:tcW w:w="2122" w:type="dxa"/>
            <w:vAlign w:val="center"/>
          </w:tcPr>
          <w:p w14:paraId="55EBD7EB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de relacionarse con ecosistemas</w:t>
            </w:r>
          </w:p>
        </w:tc>
        <w:tc>
          <w:tcPr>
            <w:tcW w:w="3260" w:type="dxa"/>
            <w:vAlign w:val="center"/>
          </w:tcPr>
          <w:p w14:paraId="53C72DA2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Vinculación con startups, DAOs, hubs de innovación, etc.</w:t>
            </w:r>
          </w:p>
        </w:tc>
        <w:tc>
          <w:tcPr>
            <w:tcW w:w="3112" w:type="dxa"/>
            <w:vAlign w:val="center"/>
          </w:tcPr>
          <w:p w14:paraId="1B2E82D6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= muy bajo / 5 = muy alto</w:t>
            </w:r>
          </w:p>
        </w:tc>
      </w:tr>
    </w:tbl>
    <w:p w14:paraId="4AC73C82" w14:textId="77777777" w:rsidR="004530B7" w:rsidRDefault="004530B7" w:rsidP="004530B7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15: Evaluación de riesgos y oportunidades. </w:t>
      </w:r>
      <w:r w:rsidRPr="0084392A">
        <w:rPr>
          <w:rFonts w:eastAsiaTheme="minorEastAsia"/>
          <w:sz w:val="20"/>
          <w:szCs w:val="20"/>
          <w:lang w:eastAsia="es-ES"/>
        </w:rPr>
        <w:t>Tapscott, D., &amp; Tapscott, A. (2016)</w:t>
      </w:r>
    </w:p>
    <w:p w14:paraId="58691CCB" w14:textId="77777777" w:rsidR="004530B7" w:rsidRDefault="004530B7" w:rsidP="004530B7">
      <w:pPr>
        <w:rPr>
          <w:rFonts w:eastAsiaTheme="minorEastAsia"/>
          <w:lang w:eastAsia="es-ES"/>
        </w:rPr>
      </w:pPr>
    </w:p>
    <w:p w14:paraId="53828238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50CA7C74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03154D61" w14:textId="77777777" w:rsidR="004530B7" w:rsidRPr="005D73B2" w:rsidRDefault="004530B7" w:rsidP="004530B7">
      <w:pPr>
        <w:jc w:val="both"/>
        <w:rPr>
          <w:rFonts w:eastAsiaTheme="minorEastAsia"/>
          <w:i/>
          <w:iCs/>
          <w:lang w:eastAsia="es-ES"/>
        </w:rPr>
      </w:pPr>
      <w:r w:rsidRPr="005D73B2">
        <w:rPr>
          <w:rFonts w:eastAsiaTheme="minorEastAsia"/>
          <w:i/>
          <w:iCs/>
          <w:lang w:eastAsia="es-ES"/>
        </w:rPr>
        <w:t xml:space="preserve">BLOQUE </w:t>
      </w:r>
      <w:r>
        <w:rPr>
          <w:rFonts w:eastAsiaTheme="minorEastAsia"/>
          <w:i/>
          <w:iCs/>
          <w:lang w:eastAsia="es-ES"/>
        </w:rPr>
        <w:t>E</w:t>
      </w:r>
      <w:r w:rsidRPr="005D73B2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Recursos y capacidades disponibles</w:t>
      </w:r>
    </w:p>
    <w:p w14:paraId="6346308B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4C6B3C">
        <w:lastRenderedPageBreak/>
        <w:t>Un bloque clave para identificar las capacidades tangibles que sostendrán la transformación</w:t>
      </w:r>
      <w:r w:rsidRPr="00893506">
        <w:t>.</w:t>
      </w:r>
    </w:p>
    <w:p w14:paraId="16C12815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687"/>
      </w:tblGrid>
      <w:tr w:rsidR="004530B7" w:rsidRPr="005D73B2" w14:paraId="3F243921" w14:textId="77777777" w:rsidTr="00DC0209">
        <w:tc>
          <w:tcPr>
            <w:tcW w:w="2972" w:type="dxa"/>
            <w:vAlign w:val="center"/>
          </w:tcPr>
          <w:p w14:paraId="0B2B611C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Recurso / Capacidad</w:t>
            </w:r>
          </w:p>
        </w:tc>
        <w:tc>
          <w:tcPr>
            <w:tcW w:w="2835" w:type="dxa"/>
            <w:vAlign w:val="center"/>
          </w:tcPr>
          <w:p w14:paraId="1A391A7C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Disponible (Sí / No / Parcial)</w:t>
            </w:r>
          </w:p>
        </w:tc>
        <w:tc>
          <w:tcPr>
            <w:tcW w:w="2687" w:type="dxa"/>
            <w:vAlign w:val="center"/>
          </w:tcPr>
          <w:p w14:paraId="1BB9BA13" w14:textId="77777777" w:rsidR="004530B7" w:rsidRPr="005D73B2" w:rsidRDefault="004530B7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Observaciones o comentarios</w:t>
            </w:r>
          </w:p>
        </w:tc>
      </w:tr>
      <w:tr w:rsidR="004530B7" w:rsidRPr="005D73B2" w14:paraId="07F679B3" w14:textId="77777777" w:rsidTr="00DC0209">
        <w:tc>
          <w:tcPr>
            <w:tcW w:w="2972" w:type="dxa"/>
            <w:vAlign w:val="center"/>
          </w:tcPr>
          <w:p w14:paraId="6BB072BD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Presupuesto dedicado a innovación</w:t>
            </w:r>
          </w:p>
        </w:tc>
        <w:tc>
          <w:tcPr>
            <w:tcW w:w="2835" w:type="dxa"/>
            <w:vAlign w:val="center"/>
          </w:tcPr>
          <w:p w14:paraId="6B2EAF00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687" w:type="dxa"/>
            <w:vAlign w:val="center"/>
          </w:tcPr>
          <w:p w14:paraId="78FC73E1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5D73B2" w14:paraId="6F9654D2" w14:textId="77777777" w:rsidTr="00DC0209">
        <w:tc>
          <w:tcPr>
            <w:tcW w:w="2972" w:type="dxa"/>
            <w:vAlign w:val="center"/>
          </w:tcPr>
          <w:p w14:paraId="15A77E5A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Alianzas con socios tecnológicos</w:t>
            </w:r>
          </w:p>
        </w:tc>
        <w:tc>
          <w:tcPr>
            <w:tcW w:w="2835" w:type="dxa"/>
            <w:vAlign w:val="center"/>
          </w:tcPr>
          <w:p w14:paraId="55A7109F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687" w:type="dxa"/>
            <w:vAlign w:val="center"/>
          </w:tcPr>
          <w:p w14:paraId="05357A02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5D73B2" w14:paraId="4BE712D4" w14:textId="77777777" w:rsidTr="00DC0209">
        <w:tc>
          <w:tcPr>
            <w:tcW w:w="2972" w:type="dxa"/>
            <w:vAlign w:val="center"/>
          </w:tcPr>
          <w:p w14:paraId="75410208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Capacidad legal especializada en cripto</w:t>
            </w:r>
          </w:p>
        </w:tc>
        <w:tc>
          <w:tcPr>
            <w:tcW w:w="2835" w:type="dxa"/>
            <w:vAlign w:val="center"/>
          </w:tcPr>
          <w:p w14:paraId="59F7F5F3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687" w:type="dxa"/>
            <w:vAlign w:val="center"/>
          </w:tcPr>
          <w:p w14:paraId="18A34DA9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5D73B2" w14:paraId="6932C51C" w14:textId="77777777" w:rsidTr="00DC0209">
        <w:trPr>
          <w:trHeight w:val="390"/>
        </w:trPr>
        <w:tc>
          <w:tcPr>
            <w:tcW w:w="2972" w:type="dxa"/>
            <w:vAlign w:val="center"/>
          </w:tcPr>
          <w:p w14:paraId="7ACA1EF6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Acceso a redes de prueba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Tesnet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/ PoC)</w:t>
            </w:r>
          </w:p>
        </w:tc>
        <w:tc>
          <w:tcPr>
            <w:tcW w:w="2835" w:type="dxa"/>
            <w:vAlign w:val="center"/>
          </w:tcPr>
          <w:p w14:paraId="3712BC4D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687" w:type="dxa"/>
            <w:vAlign w:val="center"/>
          </w:tcPr>
          <w:p w14:paraId="64CEB641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4530B7" w:rsidRPr="005D73B2" w14:paraId="1B8BF286" w14:textId="77777777" w:rsidTr="00DC0209">
        <w:trPr>
          <w:trHeight w:val="390"/>
        </w:trPr>
        <w:tc>
          <w:tcPr>
            <w:tcW w:w="2972" w:type="dxa"/>
            <w:vAlign w:val="center"/>
          </w:tcPr>
          <w:p w14:paraId="5BC0B9C8" w14:textId="77777777" w:rsidR="004530B7" w:rsidRPr="005D73B2" w:rsidRDefault="004530B7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Tiempo disponible del equipo para innovación</w:t>
            </w:r>
          </w:p>
        </w:tc>
        <w:tc>
          <w:tcPr>
            <w:tcW w:w="2835" w:type="dxa"/>
            <w:vAlign w:val="center"/>
          </w:tcPr>
          <w:p w14:paraId="0BA41C1B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687" w:type="dxa"/>
            <w:vAlign w:val="center"/>
          </w:tcPr>
          <w:p w14:paraId="31D6E13F" w14:textId="77777777" w:rsidR="004530B7" w:rsidRPr="005D73B2" w:rsidRDefault="004530B7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62E3C0D7" w14:textId="77777777" w:rsidR="004530B7" w:rsidRDefault="004530B7" w:rsidP="004530B7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16: Recursos y capacidades disponibles. </w:t>
      </w:r>
      <w:r w:rsidRPr="0084392A">
        <w:rPr>
          <w:rFonts w:eastAsiaTheme="minorEastAsia"/>
          <w:sz w:val="20"/>
          <w:szCs w:val="20"/>
          <w:lang w:eastAsia="es-ES"/>
        </w:rPr>
        <w:t>Tapscott, D., &amp; Tapscott, A. (2016).</w:t>
      </w:r>
    </w:p>
    <w:p w14:paraId="5669E0DB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36E408DA" w14:textId="77777777" w:rsidR="004530B7" w:rsidRPr="000C4DA8" w:rsidRDefault="004530B7" w:rsidP="004530B7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Instrucciones de uso</w:t>
      </w:r>
    </w:p>
    <w:p w14:paraId="65345E1F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seguir los siguientes pasos para poder complementar la plantilla:</w:t>
      </w:r>
    </w:p>
    <w:p w14:paraId="250BBDAE" w14:textId="77777777" w:rsidR="004530B7" w:rsidRPr="000C4DA8" w:rsidRDefault="004530B7" w:rsidP="004530B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Asignar un equipo interdisciplinario para responder la plantilla.</w:t>
      </w:r>
    </w:p>
    <w:p w14:paraId="4E787DB3" w14:textId="77777777" w:rsidR="004530B7" w:rsidRPr="000C4DA8" w:rsidRDefault="004530B7" w:rsidP="004530B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Usar una escala de 1 (muy bajo) a 5 (muy alto) cuando sea aplicable.</w:t>
      </w:r>
    </w:p>
    <w:p w14:paraId="7F7B0C6C" w14:textId="77777777" w:rsidR="004530B7" w:rsidRPr="000C4DA8" w:rsidRDefault="004530B7" w:rsidP="004530B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Completar el análisis cualitativo en cada sección.</w:t>
      </w:r>
    </w:p>
    <w:p w14:paraId="2E98879E" w14:textId="77777777" w:rsidR="004530B7" w:rsidRPr="000C4DA8" w:rsidRDefault="004530B7" w:rsidP="004530B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Sumar los resultados y determine un índice de preparación total.</w:t>
      </w:r>
    </w:p>
    <w:p w14:paraId="2C977FF5" w14:textId="77777777" w:rsidR="004530B7" w:rsidRPr="000C4DA8" w:rsidRDefault="004530B7" w:rsidP="004530B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Clasificar el nivel general de madurez como:</w:t>
      </w:r>
    </w:p>
    <w:p w14:paraId="4B149F63" w14:textId="77777777" w:rsidR="004530B7" w:rsidRPr="000C4DA8" w:rsidRDefault="004530B7" w:rsidP="004530B7">
      <w:pPr>
        <w:pStyle w:val="Prrafodelista"/>
        <w:numPr>
          <w:ilvl w:val="1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Baja preparación (0</w:t>
      </w:r>
      <w:r>
        <w:rPr>
          <w:rFonts w:eastAsiaTheme="minorEastAsia"/>
          <w:lang w:eastAsia="es-ES"/>
        </w:rPr>
        <w:t xml:space="preserve"> - </w:t>
      </w:r>
      <w:r w:rsidRPr="000C4DA8">
        <w:rPr>
          <w:rFonts w:eastAsiaTheme="minorEastAsia"/>
          <w:lang w:eastAsia="es-ES"/>
        </w:rPr>
        <w:t>40 puntos): aún no recomendable adoptar blockchain sin acciones previas.</w:t>
      </w:r>
    </w:p>
    <w:p w14:paraId="71337A72" w14:textId="77777777" w:rsidR="004530B7" w:rsidRPr="000C4DA8" w:rsidRDefault="004530B7" w:rsidP="004530B7">
      <w:pPr>
        <w:pStyle w:val="Prrafodelista"/>
        <w:numPr>
          <w:ilvl w:val="1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Media (41</w:t>
      </w:r>
      <w:r>
        <w:rPr>
          <w:rFonts w:eastAsiaTheme="minorEastAsia"/>
          <w:lang w:eastAsia="es-ES"/>
        </w:rPr>
        <w:t xml:space="preserve">- </w:t>
      </w:r>
      <w:r w:rsidRPr="000C4DA8">
        <w:rPr>
          <w:rFonts w:eastAsiaTheme="minorEastAsia"/>
          <w:lang w:eastAsia="es-ES"/>
        </w:rPr>
        <w:t>75 puntos): posible iniciar pilotos con bajo riesgo y alto control.</w:t>
      </w:r>
    </w:p>
    <w:p w14:paraId="5EED4D51" w14:textId="77777777" w:rsidR="004530B7" w:rsidRPr="000C4DA8" w:rsidRDefault="004530B7" w:rsidP="004530B7">
      <w:pPr>
        <w:pStyle w:val="Prrafodelista"/>
        <w:numPr>
          <w:ilvl w:val="1"/>
          <w:numId w:val="1"/>
        </w:numPr>
        <w:jc w:val="both"/>
        <w:rPr>
          <w:rFonts w:eastAsiaTheme="minorEastAsia"/>
          <w:lang w:eastAsia="es-ES"/>
        </w:rPr>
      </w:pPr>
      <w:r w:rsidRPr="000C4DA8">
        <w:rPr>
          <w:rFonts w:eastAsiaTheme="minorEastAsia"/>
          <w:lang w:eastAsia="es-ES"/>
        </w:rPr>
        <w:t>Alta (76</w:t>
      </w:r>
      <w:r>
        <w:rPr>
          <w:rFonts w:eastAsiaTheme="minorEastAsia"/>
          <w:lang w:eastAsia="es-ES"/>
        </w:rPr>
        <w:t xml:space="preserve"> - </w:t>
      </w:r>
      <w:r w:rsidRPr="000C4DA8">
        <w:rPr>
          <w:rFonts w:eastAsiaTheme="minorEastAsia"/>
          <w:lang w:eastAsia="es-ES"/>
        </w:rPr>
        <w:t>100 puntos): condiciones favorables para despliegue de iniciativas blockchain.</w:t>
      </w:r>
    </w:p>
    <w:p w14:paraId="50BBF777" w14:textId="77777777" w:rsidR="004530B7" w:rsidRDefault="004530B7" w:rsidP="004530B7">
      <w:pPr>
        <w:jc w:val="both"/>
        <w:rPr>
          <w:rFonts w:eastAsiaTheme="minorEastAsia"/>
          <w:lang w:eastAsia="es-ES"/>
        </w:rPr>
      </w:pPr>
    </w:p>
    <w:p w14:paraId="56115E4E" w14:textId="77777777" w:rsidR="004530B7" w:rsidRPr="00A36134" w:rsidRDefault="004530B7" w:rsidP="004530B7">
      <w:pPr>
        <w:jc w:val="both"/>
        <w:rPr>
          <w:rFonts w:eastAsiaTheme="minorEastAsia"/>
          <w:b/>
          <w:bCs/>
          <w:lang w:eastAsia="es-ES"/>
        </w:rPr>
      </w:pPr>
      <w:r w:rsidRPr="00A36134">
        <w:rPr>
          <w:rFonts w:eastAsiaTheme="minorEastAsia"/>
          <w:b/>
          <w:bCs/>
          <w:lang w:eastAsia="es-ES"/>
        </w:rPr>
        <w:t>Punto de partida consciente</w:t>
      </w:r>
    </w:p>
    <w:p w14:paraId="735BBA83" w14:textId="77777777" w:rsidR="004530B7" w:rsidRDefault="004530B7" w:rsidP="004530B7">
      <w:pPr>
        <w:jc w:val="both"/>
        <w:rPr>
          <w:rFonts w:eastAsiaTheme="minorEastAsia"/>
          <w:lang w:eastAsia="es-ES"/>
        </w:rPr>
      </w:pPr>
      <w:r w:rsidRPr="00A36134">
        <w:rPr>
          <w:rFonts w:eastAsiaTheme="minorEastAsia"/>
          <w:lang w:eastAsia="es-ES"/>
        </w:rPr>
        <w:t xml:space="preserve">La </w:t>
      </w:r>
      <w:r>
        <w:rPr>
          <w:rFonts w:eastAsiaTheme="minorEastAsia"/>
          <w:lang w:eastAsia="es-ES"/>
        </w:rPr>
        <w:t>p</w:t>
      </w:r>
      <w:r w:rsidRPr="00A36134">
        <w:rPr>
          <w:rFonts w:eastAsiaTheme="minorEastAsia"/>
          <w:lang w:eastAsia="es-ES"/>
        </w:rPr>
        <w:t xml:space="preserve">lantilla de </w:t>
      </w:r>
      <w:r>
        <w:rPr>
          <w:rFonts w:eastAsiaTheme="minorEastAsia"/>
          <w:lang w:eastAsia="es-ES"/>
        </w:rPr>
        <w:t>d</w:t>
      </w:r>
      <w:r w:rsidRPr="00A36134">
        <w:rPr>
          <w:rFonts w:eastAsiaTheme="minorEastAsia"/>
          <w:lang w:eastAsia="es-ES"/>
        </w:rPr>
        <w:t xml:space="preserve">iagnóstico </w:t>
      </w:r>
      <w:r>
        <w:rPr>
          <w:rFonts w:eastAsiaTheme="minorEastAsia"/>
          <w:lang w:eastAsia="es-ES"/>
        </w:rPr>
        <w:t>b</w:t>
      </w:r>
      <w:r w:rsidRPr="00A36134">
        <w:rPr>
          <w:rFonts w:eastAsiaTheme="minorEastAsia"/>
          <w:lang w:eastAsia="es-ES"/>
        </w:rPr>
        <w:t xml:space="preserve">lockchain en la </w:t>
      </w:r>
      <w:r>
        <w:rPr>
          <w:rFonts w:eastAsiaTheme="minorEastAsia"/>
          <w:lang w:eastAsia="es-ES"/>
        </w:rPr>
        <w:t>e</w:t>
      </w:r>
      <w:r w:rsidRPr="00A36134">
        <w:rPr>
          <w:rFonts w:eastAsiaTheme="minorEastAsia"/>
          <w:lang w:eastAsia="es-ES"/>
        </w:rPr>
        <w:t>mpresa actúa como un instrumento de reflexión estratégica, permitiendo comprender no solo el punto de inicio tecnológico, sino también los factores humanos, regulatorios y organizativos que afectan la viabilidad real de una transformación basada en blockchain. Su uso periódico permite observar el progreso e identificar zonas críticas de intervención.</w:t>
      </w:r>
    </w:p>
    <w:p w14:paraId="70FD12FC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A96EE" w14:textId="77777777" w:rsidR="00734E97" w:rsidRDefault="00734E97" w:rsidP="004530B7">
      <w:r>
        <w:separator/>
      </w:r>
    </w:p>
  </w:endnote>
  <w:endnote w:type="continuationSeparator" w:id="0">
    <w:p w14:paraId="7BB7EA13" w14:textId="77777777" w:rsidR="00734E97" w:rsidRDefault="00734E97" w:rsidP="0045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99D9D" w14:textId="77777777" w:rsidR="00734E97" w:rsidRDefault="00734E97" w:rsidP="004530B7">
      <w:r>
        <w:separator/>
      </w:r>
    </w:p>
  </w:footnote>
  <w:footnote w:type="continuationSeparator" w:id="0">
    <w:p w14:paraId="2431003C" w14:textId="77777777" w:rsidR="00734E97" w:rsidRDefault="00734E97" w:rsidP="00453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5437" w14:textId="4A6CF663" w:rsidR="004530B7" w:rsidRDefault="004530B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350111" wp14:editId="3EC7103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468186236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C2E3B" w14:textId="4F265105" w:rsidR="004530B7" w:rsidRPr="004530B7" w:rsidRDefault="004530B7" w:rsidP="004530B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530B7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501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371C2E3B" w14:textId="4F265105" w:rsidR="004530B7" w:rsidRPr="004530B7" w:rsidRDefault="004530B7" w:rsidP="004530B7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530B7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9ED2" w14:textId="24F02C78" w:rsidR="004530B7" w:rsidRDefault="004530B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E6CCDD" wp14:editId="3BC758F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769097018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BEE67" w14:textId="6015A1CF" w:rsidR="004530B7" w:rsidRPr="004530B7" w:rsidRDefault="004530B7" w:rsidP="004530B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4530B7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6CCD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139BEE67" w14:textId="6015A1CF" w:rsidR="004530B7" w:rsidRPr="004530B7" w:rsidRDefault="004530B7" w:rsidP="004530B7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4530B7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7EBA"/>
    <w:multiLevelType w:val="hybridMultilevel"/>
    <w:tmpl w:val="F070A2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659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0B7"/>
    <w:rsid w:val="00407413"/>
    <w:rsid w:val="004530B7"/>
    <w:rsid w:val="00455277"/>
    <w:rsid w:val="00734E97"/>
    <w:rsid w:val="0085332C"/>
    <w:rsid w:val="00861AAE"/>
    <w:rsid w:val="008B057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696626"/>
  <w15:chartTrackingRefBased/>
  <w15:docId w15:val="{87911892-D3B7-8544-A4D1-B53C6918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0B7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53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53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53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53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53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530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530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530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530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530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530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530B7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530B7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530B7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530B7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530B7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530B7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530B7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4530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530B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4530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530B7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4530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530B7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4530B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530B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53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530B7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4530B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53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530B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30B7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61A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1AAE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2025-08-28T11:37:00Z</dcterms:created>
  <dcterms:modified xsi:type="dcterms:W3CDTF">2025-08-28T11:41:00Z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6972473a,1be7f47c,52330c93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2025-08-28T11:38:11Z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d0efb726-199a-4589-9ab5-fe0503ba8590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